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40"/>
        <w:jc w:val="left"/>
      </w:pPr>
      <w:r>
        <w:rPr>
          <w:rFonts w:ascii="Calibri" w:hAnsi="Calibri"/>
          <w:b/>
          <w:i w:val="0"/>
          <w:color w:val="4F46E5"/>
          <w:sz w:val="22"/>
        </w:rPr>
        <w:t>COMPLIANCE MI PACK</w:t>
      </w:r>
    </w:p>
    <w:p>
      <w:pPr>
        <w:spacing w:after="80"/>
      </w:pPr>
      <w:r>
        <w:rPr>
          <w:rFonts w:ascii="Calibri" w:hAnsi="Calibri"/>
          <w:b/>
          <w:i w:val="0"/>
          <w:color w:val="0F172A"/>
          <w:sz w:val="64"/>
        </w:rPr>
        <w:t>May 2026</w:t>
      </w:r>
    </w:p>
    <w:p>
      <w:pPr>
        <w:spacing w:after="360"/>
        <w:jc w:val="left"/>
      </w:pPr>
      <w:r>
        <w:rPr>
          <w:rFonts w:ascii="Calibri" w:hAnsi="Calibri"/>
          <w:b w:val="0"/>
          <w:i/>
          <w:color w:val="64748B"/>
          <w:sz w:val="24"/>
        </w:rPr>
        <w:t>Auto-generated draft</w:t>
      </w:r>
    </w:p>
    <w:p>
      <w:pPr>
        <w:spacing w:before="40" w:after="160"/>
        <w:pBdr>
          <w:bottom w:val="single" w:sz="6" w:space="1" w:color="CBD5E1"/>
        </w:pBdr>
      </w:pPr>
    </w:p>
    <w:p>
      <w:pPr>
        <w:spacing w:after="40"/>
        <w:jc w:val="left"/>
      </w:pPr>
      <w:r>
        <w:rPr>
          <w:rFonts w:ascii="Calibri" w:hAnsi="Calibri"/>
          <w:b w:val="0"/>
          <w:i w:val="0"/>
          <w:color w:val="334155"/>
          <w:sz w:val="20"/>
        </w:rPr>
        <w:t>Generated: 05 May 2026 20:19 UTC</w:t>
      </w:r>
    </w:p>
    <w:p>
      <w:pPr>
        <w:spacing w:after="40"/>
        <w:jc w:val="left"/>
      </w:pPr>
      <w:r>
        <w:rPr>
          <w:rFonts w:ascii="Calibri" w:hAnsi="Calibri"/>
          <w:b w:val="0"/>
          <w:i w:val="0"/>
          <w:color w:val="334155"/>
          <w:sz w:val="20"/>
        </w:rPr>
        <w:t>Version: 1.0</w:t>
      </w:r>
    </w:p>
    <w:p>
      <w:pPr>
        <w:spacing w:after="240"/>
        <w:jc w:val="left"/>
      </w:pPr>
      <w:r>
        <w:rPr>
          <w:rFonts w:ascii="Calibri" w:hAnsi="Calibri"/>
          <w:b w:val="0"/>
          <w:i w:val="0"/>
          <w:color w:val="334155"/>
          <w:sz w:val="20"/>
        </w:rPr>
        <w:t>Model: moonshot-v1-32k (kimi)</w:t>
      </w:r>
    </w:p>
    <w:p>
      <w:pPr>
        <w:spacing w:after="240"/>
      </w:pPr>
      <w:r>
        <w:rPr>
          <w:rFonts w:ascii="Calibri" w:hAnsi="Calibri"/>
          <w:b w:val="0"/>
          <w:i w:val="0"/>
          <w:color w:val="334155"/>
          <w:sz w:val="22"/>
        </w:rPr>
        <w:t>All numeric values are computed deterministically by the rules layer from the uploaded breach register and complaints MI. Narrative paragraphs are AI-drafted, grounded only in those metrics, and clearly marked. Human review and approval are required before any external use.</w:t>
      </w:r>
    </w:p>
    <w:p>
      <w:pPr>
        <w:spacing w:before="160" w:after="40"/>
      </w:pPr>
      <w:r>
        <w:rPr>
          <w:rFonts w:ascii="Calibri" w:hAnsi="Calibri"/>
          <w:b/>
          <w:i w:val="0"/>
          <w:color w:val="3730A3"/>
          <w:sz w:val="22"/>
        </w:rPr>
        <w:t>Sections</w:t>
      </w:r>
    </w:p>
    <w:p>
      <w:pPr>
        <w:spacing w:after="40"/>
        <w:jc w:val="left"/>
      </w:pPr>
      <w:r>
        <w:rPr>
          <w:rFonts w:ascii="Calibri" w:hAnsi="Calibri"/>
          <w:b w:val="0"/>
          <w:i w:val="0"/>
          <w:color w:val="334155"/>
          <w:sz w:val="22"/>
        </w:rPr>
        <w:t>1.  Executive Summary</w:t>
      </w:r>
    </w:p>
    <w:p>
      <w:pPr>
        <w:spacing w:after="40"/>
        <w:jc w:val="left"/>
      </w:pPr>
      <w:r>
        <w:rPr>
          <w:rFonts w:ascii="Calibri" w:hAnsi="Calibri"/>
          <w:b w:val="0"/>
          <w:i w:val="0"/>
          <w:color w:val="334155"/>
          <w:sz w:val="22"/>
        </w:rPr>
        <w:t>2.  Breach Snapshot</w:t>
      </w:r>
    </w:p>
    <w:p>
      <w:pPr>
        <w:spacing w:after="40"/>
        <w:jc w:val="left"/>
      </w:pPr>
      <w:r>
        <w:rPr>
          <w:rFonts w:ascii="Calibri" w:hAnsi="Calibri"/>
          <w:b w:val="0"/>
          <w:i w:val="0"/>
          <w:color w:val="334155"/>
          <w:sz w:val="22"/>
        </w:rPr>
        <w:t>3.  Complaints Snapshot</w:t>
      </w:r>
    </w:p>
    <w:p>
      <w:pPr>
        <w:spacing w:after="40"/>
        <w:jc w:val="left"/>
      </w:pPr>
      <w:r>
        <w:rPr>
          <w:rFonts w:ascii="Calibri" w:hAnsi="Calibri"/>
          <w:b w:val="0"/>
          <w:i w:val="0"/>
          <w:color w:val="334155"/>
          <w:sz w:val="22"/>
        </w:rPr>
        <w:t>4.  Exception Flags</w:t>
      </w:r>
    </w:p>
    <w:p>
      <w:r>
        <w:br w:type="page"/>
      </w:r>
    </w:p>
    <w:p>
      <w:pPr>
        <w:spacing w:before="360" w:after="120"/>
      </w:pPr>
      <w:r>
        <w:rPr>
          <w:rFonts w:ascii="Calibri" w:hAnsi="Calibri"/>
          <w:b/>
          <w:i w:val="0"/>
          <w:color w:val="0F172A"/>
          <w:sz w:val="36"/>
        </w:rPr>
        <w:t>Executive Summary</w:t>
      </w:r>
    </w:p>
    <w:p>
      <w:pPr>
        <w:spacing w:after="200"/>
        <w:jc w:val="left"/>
      </w:pPr>
      <w:r>
        <w:rPr>
          <w:rFonts w:ascii="Calibri" w:hAnsi="Calibri"/>
          <w:b w:val="0"/>
          <w:i/>
          <w:color w:val="64748B"/>
          <w:sz w:val="20"/>
        </w:rPr>
        <w:t>AI-drafted from computed KRIs — for review only</w:t>
      </w:r>
    </w:p>
    <w:p>
      <w:pPr>
        <w:spacing w:line="336" w:lineRule="auto" w:after="200"/>
      </w:pPr>
      <w:r>
        <w:rPr>
          <w:rFonts w:ascii="Calibri" w:hAnsi="Calibri"/>
          <w:b w:val="0"/>
          <w:i w:val="0"/>
          <w:color w:val="0F172A"/>
          <w:sz w:val="24"/>
        </w:rPr>
        <w:t>In May 2026, the firm recorded a total of 40 breaches, with 19 classified as low severity, 14 as medium, 6 as high, and 1 as critical. Breach status shows 29 open, of which 23 are overdue. There were 5 critical or high-severity open breaches. The average time to report breaches was 17.1 days, and 2 breaches required regulatory notification. The complaints MI recorded 55 complaints, with Trust being the top product with 13 complaints. The channel mix was dominated by phone and email, with 16 and 13 complaints respectively. The outcome distribution showed 23 pending, 11 partially upheld, and 6 fully upheld. Total redress paid was £6,679.47, with an average closure time of 33.6 days. There were 2 SLA breaches.</w:t>
      </w:r>
    </w:p>
    <w:p>
      <w:r>
        <w:br w:type="page"/>
      </w:r>
    </w:p>
    <w:p>
      <w:pPr>
        <w:spacing w:before="360" w:after="120"/>
      </w:pPr>
      <w:r>
        <w:rPr>
          <w:rFonts w:ascii="Calibri" w:hAnsi="Calibri"/>
          <w:b/>
          <w:i w:val="0"/>
          <w:color w:val="0F172A"/>
          <w:sz w:val="36"/>
        </w:rPr>
        <w:t>Breach Snapshot</w:t>
      </w:r>
    </w:p>
    <w:p>
      <w:pPr>
        <w:spacing w:after="200"/>
        <w:jc w:val="left"/>
      </w:pPr>
      <w:r>
        <w:rPr>
          <w:rFonts w:ascii="Calibri" w:hAnsi="Calibri"/>
          <w:b w:val="0"/>
          <w:i/>
          <w:color w:val="64748B"/>
          <w:sz w:val="20"/>
        </w:rPr>
        <w:t>Source: Breach_Register.xlsx  ·  40 breaches  ·  Period 2025-12-14 → 2026-04-14</w:t>
      </w:r>
    </w:p>
    <w:tbl>
      <w:tblPr>
        <w:tblW w:type="auto" w:w="0"/>
        <w:jc w:val="center"/>
        <w:tblLook w:firstColumn="1" w:firstRow="1" w:lastColumn="0" w:lastRow="0" w:noHBand="0" w:noVBand="1" w:val="04A0"/>
      </w:tblPr>
      <w:tblGrid>
        <w:gridCol w:w="2409"/>
        <w:gridCol w:w="2409"/>
        <w:gridCol w:w="2409"/>
        <w:gridCol w:w="2409"/>
      </w:tblGrid>
      <w:tr>
        <w:tc>
          <w:tcPr>
            <w:tcW w:type="dxa" w:w="2409"/>
            <w:vAlign w:val="center"/>
            <w:shd w:val="clear" w:color="auto" w:fill="F1F5F9"/>
            <w:tcBorders>
              <w:top w:val="single" w:sz="4" w:color="E2E8F0"/>
              <w:left w:val="single" w:sz="4" w:color="E2E8F0"/>
              <w:bottom w:val="single" w:sz="4" w:color="E2E8F0"/>
              <w:right w:val="single" w:sz="4" w:color="E2E8F0"/>
            </w:tcBorders>
          </w:tcPr>
          <w:p>
            <w:pPr>
              <w:jc w:val="center"/>
            </w:pPr>
            <w:r/>
            <w:r>
              <w:rPr>
                <w:rFonts w:ascii="Calibri" w:hAnsi="Calibri"/>
                <w:b/>
                <w:i w:val="0"/>
                <w:color w:val="64748B"/>
                <w:sz w:val="18"/>
              </w:rPr>
              <w:t>TOTAL</w:t>
            </w:r>
          </w:p>
        </w:tc>
        <w:tc>
          <w:tcPr>
            <w:tcW w:type="dxa" w:w="2409"/>
            <w:vAlign w:val="center"/>
            <w:shd w:val="clear" w:color="auto" w:fill="F1F5F9"/>
            <w:tcBorders>
              <w:top w:val="single" w:sz="4" w:color="E2E8F0"/>
              <w:left w:val="single" w:sz="4" w:color="E2E8F0"/>
              <w:bottom w:val="single" w:sz="4" w:color="E2E8F0"/>
              <w:right w:val="single" w:sz="4" w:color="E2E8F0"/>
            </w:tcBorders>
          </w:tcPr>
          <w:p>
            <w:pPr>
              <w:jc w:val="center"/>
            </w:pPr>
            <w:r/>
            <w:r>
              <w:rPr>
                <w:rFonts w:ascii="Calibri" w:hAnsi="Calibri"/>
                <w:b/>
                <w:i w:val="0"/>
                <w:color w:val="64748B"/>
                <w:sz w:val="18"/>
              </w:rPr>
              <w:t>OPEN</w:t>
            </w:r>
          </w:p>
        </w:tc>
        <w:tc>
          <w:tcPr>
            <w:tcW w:type="dxa" w:w="2409"/>
            <w:vAlign w:val="center"/>
            <w:shd w:val="clear" w:color="auto" w:fill="F1F5F9"/>
            <w:tcBorders>
              <w:top w:val="single" w:sz="4" w:color="E2E8F0"/>
              <w:left w:val="single" w:sz="4" w:color="E2E8F0"/>
              <w:bottom w:val="single" w:sz="4" w:color="E2E8F0"/>
              <w:right w:val="single" w:sz="4" w:color="E2E8F0"/>
            </w:tcBorders>
          </w:tcPr>
          <w:p>
            <w:pPr>
              <w:jc w:val="center"/>
            </w:pPr>
            <w:r/>
            <w:r>
              <w:rPr>
                <w:rFonts w:ascii="Calibri" w:hAnsi="Calibri"/>
                <w:b/>
                <w:i w:val="0"/>
                <w:color w:val="64748B"/>
                <w:sz w:val="18"/>
              </w:rPr>
              <w:t>OPEN OVERDUE</w:t>
            </w:r>
          </w:p>
        </w:tc>
        <w:tc>
          <w:tcPr>
            <w:tcW w:type="dxa" w:w="2409"/>
            <w:vAlign w:val="center"/>
            <w:shd w:val="clear" w:color="auto" w:fill="F1F5F9"/>
            <w:tcBorders>
              <w:top w:val="single" w:sz="4" w:color="E2E8F0"/>
              <w:left w:val="single" w:sz="4" w:color="E2E8F0"/>
              <w:bottom w:val="single" w:sz="4" w:color="E2E8F0"/>
              <w:right w:val="single" w:sz="4" w:color="E2E8F0"/>
            </w:tcBorders>
          </w:tcPr>
          <w:p>
            <w:pPr>
              <w:jc w:val="center"/>
            </w:pPr>
            <w:r/>
            <w:r>
              <w:rPr>
                <w:rFonts w:ascii="Calibri" w:hAnsi="Calibri"/>
                <w:b/>
                <w:i w:val="0"/>
                <w:color w:val="64748B"/>
                <w:sz w:val="18"/>
              </w:rPr>
              <w:t>CRIT/HIGH OPEN</w:t>
            </w:r>
          </w:p>
        </w:tc>
      </w:tr>
      <w:tr>
        <w:tc>
          <w:tcPr>
            <w:tcW w:type="dxa" w:w="2409"/>
            <w:vAlign w:val="center"/>
            <w:shd w:val="clear" w:color="auto" w:fill="F8FAFC"/>
            <w:tcBorders>
              <w:top w:val="single" w:sz="4" w:color="E2E8F0"/>
              <w:left w:val="single" w:sz="4" w:color="E2E8F0"/>
              <w:bottom w:val="single" w:sz="4" w:color="E2E8F0"/>
              <w:right w:val="single" w:sz="4" w:color="E2E8F0"/>
            </w:tcBorders>
          </w:tcPr>
          <w:p>
            <w:pPr>
              <w:jc w:val="center"/>
            </w:pPr>
            <w:r/>
            <w:r>
              <w:rPr>
                <w:rFonts w:ascii="Calibri" w:hAnsi="Calibri"/>
                <w:b/>
                <w:i w:val="0"/>
                <w:color w:val="0F172A"/>
                <w:sz w:val="44"/>
              </w:rPr>
              <w:t>40</w:t>
            </w:r>
          </w:p>
        </w:tc>
        <w:tc>
          <w:tcPr>
            <w:tcW w:type="dxa" w:w="2409"/>
            <w:vAlign w:val="center"/>
            <w:shd w:val="clear" w:color="auto" w:fill="F8FAFC"/>
            <w:tcBorders>
              <w:top w:val="single" w:sz="4" w:color="E2E8F0"/>
              <w:left w:val="single" w:sz="4" w:color="E2E8F0"/>
              <w:bottom w:val="single" w:sz="4" w:color="E2E8F0"/>
              <w:right w:val="single" w:sz="4" w:color="E2E8F0"/>
            </w:tcBorders>
          </w:tcPr>
          <w:p>
            <w:pPr>
              <w:jc w:val="center"/>
            </w:pPr>
            <w:r/>
            <w:r>
              <w:rPr>
                <w:rFonts w:ascii="Calibri" w:hAnsi="Calibri"/>
                <w:b/>
                <w:i w:val="0"/>
                <w:color w:val="0F172A"/>
                <w:sz w:val="44"/>
              </w:rPr>
              <w:t>29</w:t>
            </w:r>
          </w:p>
        </w:tc>
        <w:tc>
          <w:tcPr>
            <w:tcW w:type="dxa" w:w="2409"/>
            <w:vAlign w:val="center"/>
            <w:shd w:val="clear" w:color="auto" w:fill="FFF1F2"/>
            <w:tcBorders>
              <w:top w:val="single" w:sz="4" w:color="E2E8F0"/>
              <w:left w:val="single" w:sz="4" w:color="E2E8F0"/>
              <w:bottom w:val="single" w:sz="4" w:color="E2E8F0"/>
              <w:right w:val="single" w:sz="4" w:color="E2E8F0"/>
            </w:tcBorders>
          </w:tcPr>
          <w:p>
            <w:pPr>
              <w:jc w:val="center"/>
            </w:pPr>
            <w:r/>
            <w:r>
              <w:rPr>
                <w:rFonts w:ascii="Calibri" w:hAnsi="Calibri"/>
                <w:b/>
                <w:i w:val="0"/>
                <w:color w:val="BE123C"/>
                <w:sz w:val="44"/>
              </w:rPr>
              <w:t>23</w:t>
            </w:r>
          </w:p>
        </w:tc>
        <w:tc>
          <w:tcPr>
            <w:tcW w:type="dxa" w:w="2409"/>
            <w:vAlign w:val="center"/>
            <w:shd w:val="clear" w:color="auto" w:fill="FFFBEB"/>
            <w:tcBorders>
              <w:top w:val="single" w:sz="4" w:color="E2E8F0"/>
              <w:left w:val="single" w:sz="4" w:color="E2E8F0"/>
              <w:bottom w:val="single" w:sz="4" w:color="E2E8F0"/>
              <w:right w:val="single" w:sz="4" w:color="E2E8F0"/>
            </w:tcBorders>
          </w:tcPr>
          <w:p>
            <w:pPr>
              <w:jc w:val="center"/>
            </w:pPr>
            <w:r/>
            <w:r>
              <w:rPr>
                <w:rFonts w:ascii="Calibri" w:hAnsi="Calibri"/>
                <w:b/>
                <w:i w:val="0"/>
                <w:color w:val="B45309"/>
                <w:sz w:val="44"/>
              </w:rPr>
              <w:t>5</w:t>
            </w:r>
          </w:p>
        </w:tc>
      </w:tr>
    </w:tbl>
    <w:p>
      <w:pPr>
        <w:spacing w:before="160" w:after="40"/>
      </w:pPr>
      <w:r>
        <w:rPr>
          <w:rFonts w:ascii="Calibri" w:hAnsi="Calibri"/>
          <w:b/>
          <w:i w:val="0"/>
          <w:color w:val="3730A3"/>
          <w:sz w:val="22"/>
        </w:rPr>
        <w:t>Breakdowns</w:t>
      </w:r>
    </w:p>
    <w:p>
      <w:pPr>
        <w:spacing w:after="40"/>
      </w:pPr>
      <w:r>
        <w:rPr>
          <w:rFonts w:ascii="Calibri" w:hAnsi="Calibri"/>
          <w:b/>
          <w:i w:val="0"/>
          <w:color w:val="334155"/>
          <w:sz w:val="20"/>
        </w:rPr>
        <w:t xml:space="preserve">By Severity:  </w:t>
      </w:r>
      <w:r>
        <w:rPr>
          <w:rFonts w:ascii="Calibri" w:hAnsi="Calibri"/>
          <w:b w:val="0"/>
          <w:i w:val="0"/>
          <w:color w:val="334155"/>
          <w:sz w:val="20"/>
        </w:rPr>
        <w:t>Low (19)  ·  Medium (14)  ·  High (6)  ·  Critical (1)</w:t>
      </w:r>
    </w:p>
    <w:p>
      <w:pPr>
        <w:spacing w:after="40"/>
      </w:pPr>
      <w:r>
        <w:rPr>
          <w:rFonts w:ascii="Calibri" w:hAnsi="Calibri"/>
          <w:b/>
          <w:i w:val="0"/>
          <w:color w:val="334155"/>
          <w:sz w:val="20"/>
        </w:rPr>
        <w:t xml:space="preserve">By Status:  </w:t>
      </w:r>
      <w:r>
        <w:rPr>
          <w:rFonts w:ascii="Calibri" w:hAnsi="Calibri"/>
          <w:b w:val="0"/>
          <w:i w:val="0"/>
          <w:color w:val="334155"/>
          <w:sz w:val="20"/>
        </w:rPr>
        <w:t>Open (19)  ·  In Review (10)  ·  Closed (6)  ·  Remediated (5)</w:t>
      </w:r>
    </w:p>
    <w:p>
      <w:pPr>
        <w:spacing w:after="40"/>
      </w:pPr>
      <w:r>
        <w:rPr>
          <w:rFonts w:ascii="Calibri" w:hAnsi="Calibri"/>
          <w:b/>
          <w:i w:val="0"/>
          <w:color w:val="334155"/>
          <w:sz w:val="20"/>
        </w:rPr>
        <w:t xml:space="preserve">By Category:  </w:t>
      </w:r>
      <w:r>
        <w:rPr>
          <w:rFonts w:ascii="Calibri" w:hAnsi="Calibri"/>
          <w:b w:val="0"/>
          <w:i w:val="0"/>
          <w:color w:val="334155"/>
          <w:sz w:val="20"/>
        </w:rPr>
        <w:t>Operational (10)  ·  Conduct (8)  ·  Client Money (CASS) (7)  ·  Trading (6)  ·  Data Protection (5)  ·  Cyber/Security (4)</w:t>
      </w:r>
    </w:p>
    <w:p>
      <w:pPr>
        <w:spacing w:after="40"/>
      </w:pPr>
      <w:r>
        <w:rPr>
          <w:rFonts w:ascii="Calibri" w:hAnsi="Calibri"/>
          <w:b/>
          <w:i w:val="0"/>
          <w:color w:val="334155"/>
          <w:sz w:val="20"/>
        </w:rPr>
        <w:t xml:space="preserve">By Business Unit:  </w:t>
      </w:r>
      <w:r>
        <w:rPr>
          <w:rFonts w:ascii="Calibri" w:hAnsi="Calibri"/>
          <w:b w:val="0"/>
          <w:i w:val="0"/>
          <w:color w:val="334155"/>
          <w:sz w:val="20"/>
        </w:rPr>
        <w:t>Risk (11)  ·  IT (10)  ·  Wealth Planning (7)  ·  Compliance (5)  ·  Operations (4)  ·  Client Services (3)</w:t>
      </w:r>
    </w:p>
    <w:p>
      <w:pPr>
        <w:spacing w:before="160" w:after="40"/>
      </w:pPr>
      <w:r>
        <w:rPr>
          <w:rFonts w:ascii="Calibri" w:hAnsi="Calibri"/>
          <w:b/>
          <w:i w:val="0"/>
          <w:color w:val="3730A3"/>
          <w:sz w:val="22"/>
        </w:rPr>
        <w:t>AI-drafted commentary  (for review only)</w:t>
      </w:r>
    </w:p>
    <w:p>
      <w:pPr>
        <w:spacing w:line="336" w:lineRule="auto" w:after="200"/>
      </w:pPr>
      <w:r>
        <w:rPr>
          <w:rFonts w:ascii="Calibri" w:hAnsi="Calibri"/>
          <w:b w:val="0"/>
          <w:i w:val="0"/>
          <w:color w:val="0F172A"/>
          <w:sz w:val="22"/>
        </w:rPr>
        <w:t>The breach population in May 2026 consisted of 40 breaches, with 19 low-severity, 14 medium-severity, 6 high-severity, and 1 critical-severity breach. The status of breaches shows 19 open, 10 in review, 6 closed, and 5 remediated. The open count stands at 29, with 23 overdue. The critical or high-open breaches total 5. Breaches are categorized as Operational (10), Conduct (8), Client Money (CASS) (7), Trading (6), Data Protection (5), and Cyber/Security (4). Business units with the highest breach counts include Risk (11), IT (10), Wealth Planning (7), Compliance (5), Operations (4), and Client Services (3).</w:t>
      </w:r>
    </w:p>
    <w:p>
      <w:pPr>
        <w:spacing w:after="80"/>
        <w:jc w:val="left"/>
      </w:pPr>
      <w:r>
        <w:rPr>
          <w:rFonts w:ascii="Calibri" w:hAnsi="Calibri"/>
          <w:b w:val="0"/>
          <w:i/>
          <w:color w:val="64748B"/>
          <w:sz w:val="20"/>
        </w:rPr>
        <w:t>Avg time to report: 17.1 days  ·  Regulatory notification required: 2</w:t>
      </w:r>
    </w:p>
    <w:p>
      <w:r>
        <w:br w:type="page"/>
      </w:r>
    </w:p>
    <w:p>
      <w:pPr>
        <w:spacing w:before="360" w:after="120"/>
      </w:pPr>
      <w:r>
        <w:rPr>
          <w:rFonts w:ascii="Calibri" w:hAnsi="Calibri"/>
          <w:b/>
          <w:i w:val="0"/>
          <w:color w:val="0F172A"/>
          <w:sz w:val="36"/>
        </w:rPr>
        <w:t>Complaints Snapshot</w:t>
      </w:r>
    </w:p>
    <w:p>
      <w:pPr>
        <w:spacing w:after="200"/>
        <w:jc w:val="left"/>
      </w:pPr>
      <w:r>
        <w:rPr>
          <w:rFonts w:ascii="Calibri" w:hAnsi="Calibri"/>
          <w:b w:val="0"/>
          <w:i/>
          <w:color w:val="64748B"/>
          <w:sz w:val="20"/>
        </w:rPr>
        <w:t>Source: Complaints_MI.xlsx  ·  55 complaints  ·  Period 2026-01-05 → 2026-04-18</w:t>
      </w:r>
    </w:p>
    <w:tbl>
      <w:tblPr>
        <w:tblW w:type="auto" w:w="0"/>
        <w:jc w:val="center"/>
        <w:tblLook w:firstColumn="1" w:firstRow="1" w:lastColumn="0" w:lastRow="0" w:noHBand="0" w:noVBand="1" w:val="04A0"/>
      </w:tblPr>
      <w:tblGrid>
        <w:gridCol w:w="2409"/>
        <w:gridCol w:w="2409"/>
        <w:gridCol w:w="2409"/>
        <w:gridCol w:w="2409"/>
      </w:tblGrid>
      <w:tr>
        <w:tc>
          <w:tcPr>
            <w:tcW w:type="dxa" w:w="2409"/>
            <w:vAlign w:val="center"/>
            <w:shd w:val="clear" w:color="auto" w:fill="F1F5F9"/>
            <w:tcBorders>
              <w:top w:val="single" w:sz="4" w:color="E2E8F0"/>
              <w:left w:val="single" w:sz="4" w:color="E2E8F0"/>
              <w:bottom w:val="single" w:sz="4" w:color="E2E8F0"/>
              <w:right w:val="single" w:sz="4" w:color="E2E8F0"/>
            </w:tcBorders>
          </w:tcPr>
          <w:p>
            <w:pPr>
              <w:jc w:val="center"/>
            </w:pPr>
            <w:r/>
            <w:r>
              <w:rPr>
                <w:rFonts w:ascii="Calibri" w:hAnsi="Calibri"/>
                <w:b/>
                <w:i w:val="0"/>
                <w:color w:val="64748B"/>
                <w:sz w:val="18"/>
              </w:rPr>
              <w:t>TOTAL</w:t>
            </w:r>
          </w:p>
        </w:tc>
        <w:tc>
          <w:tcPr>
            <w:tcW w:type="dxa" w:w="2409"/>
            <w:vAlign w:val="center"/>
            <w:shd w:val="clear" w:color="auto" w:fill="F1F5F9"/>
            <w:tcBorders>
              <w:top w:val="single" w:sz="4" w:color="E2E8F0"/>
              <w:left w:val="single" w:sz="4" w:color="E2E8F0"/>
              <w:bottom w:val="single" w:sz="4" w:color="E2E8F0"/>
              <w:right w:val="single" w:sz="4" w:color="E2E8F0"/>
            </w:tcBorders>
          </w:tcPr>
          <w:p>
            <w:pPr>
              <w:jc w:val="center"/>
            </w:pPr>
            <w:r/>
            <w:r>
              <w:rPr>
                <w:rFonts w:ascii="Calibri" w:hAnsi="Calibri"/>
                <w:b/>
                <w:i w:val="0"/>
                <w:color w:val="64748B"/>
                <w:sz w:val="18"/>
              </w:rPr>
              <w:t>REDRESS</w:t>
            </w:r>
          </w:p>
        </w:tc>
        <w:tc>
          <w:tcPr>
            <w:tcW w:type="dxa" w:w="2409"/>
            <w:vAlign w:val="center"/>
            <w:shd w:val="clear" w:color="auto" w:fill="F1F5F9"/>
            <w:tcBorders>
              <w:top w:val="single" w:sz="4" w:color="E2E8F0"/>
              <w:left w:val="single" w:sz="4" w:color="E2E8F0"/>
              <w:bottom w:val="single" w:sz="4" w:color="E2E8F0"/>
              <w:right w:val="single" w:sz="4" w:color="E2E8F0"/>
            </w:tcBorders>
          </w:tcPr>
          <w:p>
            <w:pPr>
              <w:jc w:val="center"/>
            </w:pPr>
            <w:r/>
            <w:r>
              <w:rPr>
                <w:rFonts w:ascii="Calibri" w:hAnsi="Calibri"/>
                <w:b/>
                <w:i w:val="0"/>
                <w:color w:val="64748B"/>
                <w:sz w:val="18"/>
              </w:rPr>
              <w:t>UPHELD/PARTIAL</w:t>
            </w:r>
          </w:p>
        </w:tc>
        <w:tc>
          <w:tcPr>
            <w:tcW w:type="dxa" w:w="2409"/>
            <w:vAlign w:val="center"/>
            <w:shd w:val="clear" w:color="auto" w:fill="F1F5F9"/>
            <w:tcBorders>
              <w:top w:val="single" w:sz="4" w:color="E2E8F0"/>
              <w:left w:val="single" w:sz="4" w:color="E2E8F0"/>
              <w:bottom w:val="single" w:sz="4" w:color="E2E8F0"/>
              <w:right w:val="single" w:sz="4" w:color="E2E8F0"/>
            </w:tcBorders>
          </w:tcPr>
          <w:p>
            <w:pPr>
              <w:jc w:val="center"/>
            </w:pPr>
            <w:r/>
            <w:r>
              <w:rPr>
                <w:rFonts w:ascii="Calibri" w:hAnsi="Calibri"/>
                <w:b/>
                <w:i w:val="0"/>
                <w:color w:val="64748B"/>
                <w:sz w:val="18"/>
              </w:rPr>
              <w:t>SLA BREACHES</w:t>
            </w:r>
          </w:p>
        </w:tc>
      </w:tr>
      <w:tr>
        <w:tc>
          <w:tcPr>
            <w:tcW w:type="dxa" w:w="2409"/>
            <w:vAlign w:val="center"/>
            <w:shd w:val="clear" w:color="auto" w:fill="F8FAFC"/>
            <w:tcBorders>
              <w:top w:val="single" w:sz="4" w:color="E2E8F0"/>
              <w:left w:val="single" w:sz="4" w:color="E2E8F0"/>
              <w:bottom w:val="single" w:sz="4" w:color="E2E8F0"/>
              <w:right w:val="single" w:sz="4" w:color="E2E8F0"/>
            </w:tcBorders>
          </w:tcPr>
          <w:p>
            <w:pPr>
              <w:jc w:val="center"/>
            </w:pPr>
            <w:r/>
            <w:r>
              <w:rPr>
                <w:rFonts w:ascii="Calibri" w:hAnsi="Calibri"/>
                <w:b/>
                <w:i w:val="0"/>
                <w:color w:val="0F172A"/>
                <w:sz w:val="44"/>
              </w:rPr>
              <w:t>55</w:t>
            </w:r>
          </w:p>
        </w:tc>
        <w:tc>
          <w:tcPr>
            <w:tcW w:type="dxa" w:w="2409"/>
            <w:vAlign w:val="center"/>
            <w:shd w:val="clear" w:color="auto" w:fill="F8FAFC"/>
            <w:tcBorders>
              <w:top w:val="single" w:sz="4" w:color="E2E8F0"/>
              <w:left w:val="single" w:sz="4" w:color="E2E8F0"/>
              <w:bottom w:val="single" w:sz="4" w:color="E2E8F0"/>
              <w:right w:val="single" w:sz="4" w:color="E2E8F0"/>
            </w:tcBorders>
          </w:tcPr>
          <w:p>
            <w:pPr>
              <w:jc w:val="center"/>
            </w:pPr>
            <w:r/>
            <w:r>
              <w:rPr>
                <w:rFonts w:ascii="Calibri" w:hAnsi="Calibri"/>
                <w:b/>
                <w:i w:val="0"/>
                <w:color w:val="0F172A"/>
                <w:sz w:val="44"/>
              </w:rPr>
              <w:t>£6,679</w:t>
            </w:r>
          </w:p>
        </w:tc>
        <w:tc>
          <w:tcPr>
            <w:tcW w:type="dxa" w:w="2409"/>
            <w:vAlign w:val="center"/>
            <w:shd w:val="clear" w:color="auto" w:fill="FFFBEB"/>
            <w:tcBorders>
              <w:top w:val="single" w:sz="4" w:color="E2E8F0"/>
              <w:left w:val="single" w:sz="4" w:color="E2E8F0"/>
              <w:bottom w:val="single" w:sz="4" w:color="E2E8F0"/>
              <w:right w:val="single" w:sz="4" w:color="E2E8F0"/>
            </w:tcBorders>
          </w:tcPr>
          <w:p>
            <w:pPr>
              <w:jc w:val="center"/>
            </w:pPr>
            <w:r/>
            <w:r>
              <w:rPr>
                <w:rFonts w:ascii="Calibri" w:hAnsi="Calibri"/>
                <w:b/>
                <w:i w:val="0"/>
                <w:color w:val="B45309"/>
                <w:sz w:val="44"/>
              </w:rPr>
              <w:t>17</w:t>
            </w:r>
          </w:p>
        </w:tc>
        <w:tc>
          <w:tcPr>
            <w:tcW w:type="dxa" w:w="2409"/>
            <w:vAlign w:val="center"/>
            <w:shd w:val="clear" w:color="auto" w:fill="FFF1F2"/>
            <w:tcBorders>
              <w:top w:val="single" w:sz="4" w:color="E2E8F0"/>
              <w:left w:val="single" w:sz="4" w:color="E2E8F0"/>
              <w:bottom w:val="single" w:sz="4" w:color="E2E8F0"/>
              <w:right w:val="single" w:sz="4" w:color="E2E8F0"/>
            </w:tcBorders>
          </w:tcPr>
          <w:p>
            <w:pPr>
              <w:jc w:val="center"/>
            </w:pPr>
            <w:r/>
            <w:r>
              <w:rPr>
                <w:rFonts w:ascii="Calibri" w:hAnsi="Calibri"/>
                <w:b/>
                <w:i w:val="0"/>
                <w:color w:val="BE123C"/>
                <w:sz w:val="44"/>
              </w:rPr>
              <w:t>2</w:t>
            </w:r>
          </w:p>
        </w:tc>
      </w:tr>
    </w:tbl>
    <w:p>
      <w:pPr>
        <w:spacing w:before="160" w:after="40"/>
      </w:pPr>
      <w:r>
        <w:rPr>
          <w:rFonts w:ascii="Calibri" w:hAnsi="Calibri"/>
          <w:b/>
          <w:i w:val="0"/>
          <w:color w:val="3730A3"/>
          <w:sz w:val="22"/>
        </w:rPr>
        <w:t>Breakdowns</w:t>
      </w:r>
    </w:p>
    <w:p>
      <w:pPr>
        <w:spacing w:after="40"/>
      </w:pPr>
      <w:r>
        <w:rPr>
          <w:rFonts w:ascii="Calibri" w:hAnsi="Calibri"/>
          <w:b/>
          <w:i w:val="0"/>
          <w:color w:val="334155"/>
          <w:sz w:val="20"/>
        </w:rPr>
        <w:t xml:space="preserve">By Product:  </w:t>
      </w:r>
      <w:r>
        <w:rPr>
          <w:rFonts w:ascii="Calibri" w:hAnsi="Calibri"/>
          <w:b w:val="0"/>
          <w:i w:val="0"/>
          <w:color w:val="334155"/>
          <w:sz w:val="20"/>
        </w:rPr>
        <w:t>Trust (13)  ·  ISA (9)  ·  Discretionary Portfolio (9)  ·  GIA (9)  ·  Advisory (8)  ·  SIPP (7)</w:t>
      </w:r>
    </w:p>
    <w:p>
      <w:pPr>
        <w:spacing w:after="40"/>
      </w:pPr>
      <w:r>
        <w:rPr>
          <w:rFonts w:ascii="Calibri" w:hAnsi="Calibri"/>
          <w:b/>
          <w:i w:val="0"/>
          <w:color w:val="334155"/>
          <w:sz w:val="20"/>
        </w:rPr>
        <w:t xml:space="preserve">By Channel:  </w:t>
      </w:r>
      <w:r>
        <w:rPr>
          <w:rFonts w:ascii="Calibri" w:hAnsi="Calibri"/>
          <w:b w:val="0"/>
          <w:i w:val="0"/>
          <w:color w:val="334155"/>
          <w:sz w:val="20"/>
        </w:rPr>
        <w:t>Phone (16)  ·  Email (13)  ·  Letter (10)  ·  Web (9)  ·  In-person (7)</w:t>
      </w:r>
    </w:p>
    <w:p>
      <w:pPr>
        <w:spacing w:after="40"/>
      </w:pPr>
      <w:r>
        <w:rPr>
          <w:rFonts w:ascii="Calibri" w:hAnsi="Calibri"/>
          <w:b/>
          <w:i w:val="0"/>
          <w:color w:val="334155"/>
          <w:sz w:val="20"/>
        </w:rPr>
        <w:t xml:space="preserve">By Outcome:  </w:t>
      </w:r>
      <w:r>
        <w:rPr>
          <w:rFonts w:ascii="Calibri" w:hAnsi="Calibri"/>
          <w:b w:val="0"/>
          <w:i w:val="0"/>
          <w:color w:val="334155"/>
          <w:sz w:val="20"/>
        </w:rPr>
        <w:t>Pending (23)  ·  Partially upheld (11)  ·  Resolved informally (8)  ·  Not upheld (7)  ·  Upheld (6)</w:t>
      </w:r>
    </w:p>
    <w:p>
      <w:pPr>
        <w:spacing w:before="160" w:after="40"/>
      </w:pPr>
      <w:r>
        <w:rPr>
          <w:rFonts w:ascii="Calibri" w:hAnsi="Calibri"/>
          <w:b/>
          <w:i w:val="0"/>
          <w:color w:val="3730A3"/>
          <w:sz w:val="22"/>
        </w:rPr>
        <w:t>AI-drafted commentary  (for review only)</w:t>
      </w:r>
    </w:p>
    <w:p>
      <w:pPr>
        <w:spacing w:line="336" w:lineRule="auto" w:after="200"/>
      </w:pPr>
      <w:r>
        <w:rPr>
          <w:rFonts w:ascii="Calibri" w:hAnsi="Calibri"/>
          <w:b w:val="0"/>
          <w:i w:val="0"/>
          <w:color w:val="0F172A"/>
          <w:sz w:val="22"/>
        </w:rPr>
        <w:t>In May 2026, the firm received a total of 55 complaints, with 32 closed and 23 open. The top product for complaints was Trust with 13, followed by ISA and Discretionary Portfolio with 9 each. The channel mix was dominated by phone (16) and email (13). The outcome distribution was 23 pending, 11 partially upheld, 8 resolved informally, 7 not upheld, and 6 fully upheld. Total redress paid was £6,679.47, with an average of 33.6 days to close complaints. There were 2 SLA breaches during the period.</w:t>
      </w:r>
    </w:p>
    <w:p>
      <w:pPr>
        <w:spacing w:after="80"/>
        <w:jc w:val="left"/>
      </w:pPr>
      <w:r>
        <w:rPr>
          <w:rFonts w:ascii="Calibri" w:hAnsi="Calibri"/>
          <w:b w:val="0"/>
          <w:i/>
          <w:color w:val="64748B"/>
          <w:sz w:val="20"/>
        </w:rPr>
        <w:t>Avg days to close: 33.6</w:t>
      </w:r>
    </w:p>
    <w:p>
      <w:r>
        <w:br w:type="page"/>
      </w:r>
    </w:p>
    <w:p>
      <w:pPr>
        <w:spacing w:before="360" w:after="120"/>
      </w:pPr>
      <w:r>
        <w:rPr>
          <w:rFonts w:ascii="Calibri" w:hAnsi="Calibri"/>
          <w:b/>
          <w:i w:val="0"/>
          <w:color w:val="B45309"/>
          <w:sz w:val="36"/>
        </w:rPr>
        <w:t>Exception Flags</w:t>
      </w:r>
    </w:p>
    <w:p>
      <w:pPr>
        <w:spacing w:after="200"/>
        <w:jc w:val="left"/>
      </w:pPr>
      <w:r>
        <w:rPr>
          <w:rFonts w:ascii="Calibri" w:hAnsi="Calibri"/>
          <w:b w:val="0"/>
          <w:i/>
          <w:color w:val="64748B"/>
          <w:sz w:val="20"/>
        </w:rPr>
        <w:t>AI-flagged from the metrics — review and confirm before action</w:t>
      </w:r>
    </w:p>
    <w:p>
      <w:pPr>
        <w:pStyle w:val="ListBullet"/>
        <w:spacing w:after="80"/>
      </w:pPr>
      <w:r>
        <w:rPr>
          <w:rFonts w:ascii="Calibri" w:hAnsi="Calibri"/>
          <w:b w:val="0"/>
          <w:i w:val="0"/>
          <w:color w:val="0F172A"/>
          <w:sz w:val="24"/>
        </w:rPr>
        <w:t>23 breaches are overdue.</w:t>
      </w:r>
    </w:p>
    <w:p>
      <w:pPr>
        <w:pStyle w:val="ListBullet"/>
        <w:spacing w:after="80"/>
      </w:pPr>
      <w:r>
        <w:rPr>
          <w:rFonts w:ascii="Calibri" w:hAnsi="Calibri"/>
          <w:b w:val="0"/>
          <w:i w:val="0"/>
          <w:color w:val="0F172A"/>
          <w:sz w:val="24"/>
        </w:rPr>
        <w:t>5 critical or high-severity breaches are open.</w:t>
      </w:r>
    </w:p>
    <w:p>
      <w:pPr>
        <w:pStyle w:val="ListBullet"/>
        <w:spacing w:after="80"/>
      </w:pPr>
      <w:r>
        <w:rPr>
          <w:rFonts w:ascii="Calibri" w:hAnsi="Calibri"/>
          <w:b w:val="0"/>
          <w:i w:val="0"/>
          <w:color w:val="0F172A"/>
          <w:sz w:val="24"/>
        </w:rPr>
        <w:t>2 SLA breaches occurred in complaints handling.</w:t>
      </w:r>
    </w:p>
    <w:sectPr w:rsidR="00FC693F" w:rsidRPr="0006063C" w:rsidSect="00034616">
      <w:headerReference w:type="default" r:id="rId9"/>
      <w:footerReference w:type="default" r:id="rId10"/>
      <w:pgSz w:w="11906" w:h="16838"/>
      <w:pgMar w:top="1020" w:right="1134" w:bottom="1020"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Calibri" w:hAnsi="Calibri"/>
        <w:b w:val="0"/>
        <w:i/>
        <w:color w:val="94A3B8"/>
        <w:sz w:val="18"/>
      </w:rPr>
      <w:t>AI-assisted draft — for human review only</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left"/>
    </w:pPr>
    <w:r>
      <w:rPr>
        <w:rFonts w:ascii="Calibri" w:hAnsi="Calibri"/>
        <w:b w:val="0"/>
        <w:i w:val="0"/>
        <w:color w:val="64748B"/>
        <w:sz w:val="18"/>
      </w:rPr>
      <w:t>Compliance MI Pack — May 2026 (Draft)</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